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6B" w:rsidRPr="006218E2" w:rsidRDefault="006218E2" w:rsidP="006218E2">
      <w:pPr>
        <w:jc w:val="center"/>
        <w:rPr>
          <w:b/>
        </w:rPr>
      </w:pPr>
      <w:r w:rsidRPr="006218E2">
        <w:rPr>
          <w:b/>
        </w:rPr>
        <w:t xml:space="preserve">UCHWAŁA NR </w:t>
      </w:r>
      <w:r w:rsidRPr="006218E2">
        <w:rPr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6218E2">
        <w:rPr>
          <w:b/>
        </w:rPr>
        <w:instrText xml:space="preserve"> FORMTEXT </w:instrText>
      </w:r>
      <w:r w:rsidRPr="006218E2">
        <w:rPr>
          <w:b/>
        </w:rPr>
      </w:r>
      <w:r w:rsidRPr="006218E2">
        <w:rPr>
          <w:b/>
        </w:rPr>
        <w:fldChar w:fldCharType="separate"/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fldChar w:fldCharType="end"/>
      </w:r>
      <w:bookmarkEnd w:id="0"/>
      <w:r w:rsidRPr="006218E2">
        <w:rPr>
          <w:b/>
        </w:rPr>
        <w:t xml:space="preserve"> RADY MIASTA </w:t>
      </w:r>
      <w:r w:rsidRPr="006218E2">
        <w:rPr>
          <w:b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6218E2">
        <w:rPr>
          <w:b/>
        </w:rPr>
        <w:instrText xml:space="preserve"> FORMTEXT </w:instrText>
      </w:r>
      <w:r w:rsidRPr="006218E2">
        <w:rPr>
          <w:b/>
        </w:rPr>
      </w:r>
      <w:r w:rsidRPr="006218E2">
        <w:rPr>
          <w:b/>
        </w:rPr>
        <w:fldChar w:fldCharType="separate"/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fldChar w:fldCharType="end"/>
      </w:r>
      <w:bookmarkEnd w:id="1"/>
    </w:p>
    <w:p w:rsidR="00F4376B" w:rsidRPr="006218E2" w:rsidRDefault="00F4376B" w:rsidP="006218E2">
      <w:pPr>
        <w:jc w:val="center"/>
        <w:rPr>
          <w:b/>
        </w:rPr>
      </w:pPr>
    </w:p>
    <w:p w:rsidR="00F4376B" w:rsidRPr="006218E2" w:rsidRDefault="006218E2" w:rsidP="006218E2">
      <w:pPr>
        <w:jc w:val="center"/>
        <w:rPr>
          <w:b/>
        </w:rPr>
      </w:pPr>
      <w:r w:rsidRPr="006218E2">
        <w:rPr>
          <w:b/>
        </w:rPr>
        <w:t xml:space="preserve">z dnia </w:t>
      </w:r>
      <w:r w:rsidRPr="006218E2">
        <w:rPr>
          <w:b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Pr="006218E2">
        <w:rPr>
          <w:b/>
        </w:rPr>
        <w:instrText xml:space="preserve"> FORMTEXT </w:instrText>
      </w:r>
      <w:r w:rsidRPr="006218E2">
        <w:rPr>
          <w:b/>
        </w:rPr>
      </w:r>
      <w:r w:rsidRPr="006218E2">
        <w:rPr>
          <w:b/>
        </w:rPr>
        <w:fldChar w:fldCharType="separate"/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t> </w:t>
      </w:r>
      <w:r w:rsidRPr="006218E2">
        <w:rPr>
          <w:b/>
        </w:rPr>
        <w:fldChar w:fldCharType="end"/>
      </w:r>
      <w:bookmarkEnd w:id="2"/>
      <w:r>
        <w:rPr>
          <w:b/>
        </w:rPr>
        <w:t xml:space="preserve"> </w:t>
      </w:r>
      <w:r w:rsidRPr="006218E2">
        <w:rPr>
          <w:b/>
        </w:rPr>
        <w:t>r.</w:t>
      </w:r>
    </w:p>
    <w:p w:rsidR="00F4376B" w:rsidRPr="006218E2" w:rsidRDefault="00F4376B" w:rsidP="006218E2">
      <w:pPr>
        <w:jc w:val="center"/>
        <w:rPr>
          <w:b/>
        </w:rPr>
      </w:pPr>
    </w:p>
    <w:p w:rsidR="00F4376B" w:rsidRPr="006218E2" w:rsidRDefault="006218E2" w:rsidP="006218E2">
      <w:pPr>
        <w:jc w:val="center"/>
        <w:rPr>
          <w:b/>
        </w:rPr>
      </w:pPr>
      <w:r w:rsidRPr="006218E2">
        <w:rPr>
          <w:b/>
        </w:rPr>
        <w:t>w sprawie wyboru metody ustalenia opłaty za gospodarowanie odpadami komunalnymi oraz ustalenia stawki tej opłaty dla nieruchomości, na których zamieszkują mieszkańcy</w:t>
      </w:r>
    </w:p>
    <w:p w:rsidR="00F4376B" w:rsidRPr="006218E2" w:rsidRDefault="00F4376B">
      <w:pPr>
        <w:pStyle w:val="Tekstpodstawowy"/>
        <w:spacing w:before="0"/>
        <w:rPr>
          <w:b/>
          <w:sz w:val="24"/>
          <w:lang w:val="pl-PL"/>
        </w:rPr>
      </w:pPr>
    </w:p>
    <w:p w:rsidR="00F4376B" w:rsidRPr="006218E2" w:rsidRDefault="006218E2">
      <w:pPr>
        <w:pStyle w:val="Tekstpodstawowy"/>
        <w:spacing w:before="204"/>
        <w:ind w:left="119" w:right="118" w:firstLine="227"/>
        <w:jc w:val="both"/>
        <w:rPr>
          <w:lang w:val="pl-PL"/>
        </w:rPr>
      </w:pPr>
      <w:r w:rsidRPr="006218E2">
        <w:rPr>
          <w:lang w:val="pl-PL"/>
        </w:rPr>
        <w:t>Na podstawie art. 6j ust. 2 i 2a i art. 6k ust. 1 pkt 1, ust. 2, 2a i ust. 3 ustawy z dni</w:t>
      </w:r>
      <w:r w:rsidRPr="006218E2">
        <w:rPr>
          <w:lang w:val="pl-PL"/>
        </w:rPr>
        <w:t>a 13 września 1996 r. o utrzymaniu czystości i porządku w gminach (Dz. U. z 2016 r. poz. 250) oraz art. 18 ust. 2 pkt 15, w związku z art. 40 ust. 1 i art. 41 ust. 1 ustawy z dnia 8 marca 1990 r. o samorządzie gminnym (Dz.U. z 2016 r. poz. 446), uchwala si</w:t>
      </w:r>
      <w:r w:rsidRPr="006218E2">
        <w:rPr>
          <w:lang w:val="pl-PL"/>
        </w:rPr>
        <w:t>ę, co następuje:</w:t>
      </w:r>
    </w:p>
    <w:p w:rsidR="00F4376B" w:rsidRPr="006218E2" w:rsidRDefault="006218E2">
      <w:pPr>
        <w:pStyle w:val="Tekstpodstawowy"/>
        <w:ind w:left="120" w:right="118" w:firstLine="340"/>
        <w:jc w:val="both"/>
        <w:rPr>
          <w:lang w:val="pl-PL"/>
        </w:rPr>
      </w:pPr>
      <w:r w:rsidRPr="006218E2">
        <w:rPr>
          <w:b/>
          <w:lang w:val="pl-PL"/>
        </w:rPr>
        <w:t xml:space="preserve">§ 1. </w:t>
      </w:r>
      <w:r w:rsidRPr="006218E2">
        <w:rPr>
          <w:lang w:val="pl-PL"/>
        </w:rPr>
        <w:t>Dokonuje się wyboru metody ustalenia opłaty za gospodarowanie odpadami komunalnymi od właścicieli nieruchomości, na których zamieszkują mieszkańcy, określonej w art. 6j ust. 2 ustawy z dnia 13 września 1996 r. o utrzymaniu czystości i</w:t>
      </w:r>
      <w:r w:rsidRPr="006218E2">
        <w:rPr>
          <w:lang w:val="pl-PL"/>
        </w:rPr>
        <w:t xml:space="preserve"> porządku w gminach, zgodnie z którym opłata za gospodarowanie odpadami komunalnymi stanowi stawkę od gospodarstwa domowego.</w:t>
      </w:r>
    </w:p>
    <w:p w:rsidR="00F4376B" w:rsidRPr="006218E2" w:rsidRDefault="006218E2">
      <w:pPr>
        <w:pStyle w:val="Tekstpodstawowy"/>
        <w:ind w:left="119" w:right="30" w:firstLine="340"/>
        <w:rPr>
          <w:lang w:val="pl-PL"/>
        </w:rPr>
      </w:pPr>
      <w:r w:rsidRPr="006218E2">
        <w:rPr>
          <w:b/>
          <w:lang w:val="pl-PL"/>
        </w:rPr>
        <w:t xml:space="preserve">§ 2. </w:t>
      </w:r>
      <w:r w:rsidRPr="006218E2">
        <w:rPr>
          <w:lang w:val="pl-PL"/>
        </w:rPr>
        <w:t xml:space="preserve">1. Ustala się miesięczną stawkę opłaty za gospodarowanie odpadami komunalnymi, o której mowa w § 1, jeżeli odpady są zbierane </w:t>
      </w:r>
      <w:r w:rsidRPr="006218E2">
        <w:rPr>
          <w:lang w:val="pl-PL"/>
        </w:rPr>
        <w:t>i odbierane w sposób selektywny, w wysokości:</w:t>
      </w:r>
    </w:p>
    <w:p w:rsidR="00F4376B" w:rsidRPr="006218E2" w:rsidRDefault="006218E2">
      <w:pPr>
        <w:pStyle w:val="Akapitzlist"/>
        <w:numPr>
          <w:ilvl w:val="0"/>
          <w:numId w:val="2"/>
        </w:numPr>
        <w:tabs>
          <w:tab w:val="left" w:pos="642"/>
        </w:tabs>
        <w:ind w:right="119" w:firstLine="0"/>
        <w:rPr>
          <w:lang w:val="pl-PL"/>
        </w:rPr>
      </w:pP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bookmarkStart w:id="4" w:name="_GoBack"/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bookmarkEnd w:id="4"/>
      <w:r>
        <w:rPr>
          <w:lang w:val="pl-PL"/>
        </w:rPr>
        <w:fldChar w:fldCharType="end"/>
      </w:r>
      <w:bookmarkEnd w:id="3"/>
      <w:r w:rsidRPr="006218E2">
        <w:rPr>
          <w:lang w:val="pl-PL"/>
        </w:rPr>
        <w:t xml:space="preserve"> zł od gospodarstwa domowego jednoosobowego, niezależnie od powierzchni zajmowanego lokalu mieszkalnego;</w:t>
      </w:r>
    </w:p>
    <w:p w:rsidR="00F4376B" w:rsidRPr="006218E2" w:rsidRDefault="006218E2">
      <w:pPr>
        <w:pStyle w:val="Akapitzlist"/>
        <w:numPr>
          <w:ilvl w:val="0"/>
          <w:numId w:val="2"/>
        </w:numPr>
        <w:tabs>
          <w:tab w:val="left" w:pos="642"/>
        </w:tabs>
        <w:ind w:right="118" w:firstLine="0"/>
        <w:rPr>
          <w:lang w:val="pl-PL"/>
        </w:rPr>
      </w:pP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r w:rsidRPr="006218E2">
        <w:rPr>
          <w:lang w:val="pl-PL"/>
        </w:rPr>
        <w:t xml:space="preserve"> zł od gospodarstwa domowego wieloosobowego, zajmującego lokal mieszkalny o powierzchni do 40 m²;</w:t>
      </w:r>
    </w:p>
    <w:p w:rsidR="00F4376B" w:rsidRPr="006218E2" w:rsidRDefault="006218E2">
      <w:pPr>
        <w:pStyle w:val="Akapitzlist"/>
        <w:numPr>
          <w:ilvl w:val="0"/>
          <w:numId w:val="2"/>
        </w:numPr>
        <w:tabs>
          <w:tab w:val="left" w:pos="642"/>
        </w:tabs>
        <w:ind w:left="641" w:hanging="238"/>
        <w:rPr>
          <w:lang w:val="pl-PL"/>
        </w:rPr>
      </w:pP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zł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od</w:t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gospodarstwa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domowego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wieloosobowego,</w:t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zajmującego</w:t>
      </w:r>
      <w:r w:rsidRPr="006218E2">
        <w:rPr>
          <w:spacing w:val="15"/>
          <w:lang w:val="pl-PL"/>
        </w:rPr>
        <w:t xml:space="preserve"> </w:t>
      </w:r>
      <w:r w:rsidRPr="006218E2">
        <w:rPr>
          <w:lang w:val="pl-PL"/>
        </w:rPr>
        <w:t>lokal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mieszkalny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o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powierzchni</w:t>
      </w:r>
    </w:p>
    <w:p w:rsidR="00F4376B" w:rsidRPr="006218E2" w:rsidRDefault="006218E2">
      <w:pPr>
        <w:pStyle w:val="Tekstpodstawowy"/>
        <w:spacing w:before="0"/>
        <w:ind w:left="402"/>
        <w:rPr>
          <w:lang w:val="pl-PL"/>
        </w:rPr>
      </w:pPr>
      <w:r w:rsidRPr="006218E2">
        <w:rPr>
          <w:lang w:val="pl-PL"/>
        </w:rPr>
        <w:t>przekraczającej 40 m², jednak nie większej niż 80 m²;</w:t>
      </w:r>
    </w:p>
    <w:p w:rsidR="00F4376B" w:rsidRPr="006218E2" w:rsidRDefault="006218E2">
      <w:pPr>
        <w:pStyle w:val="Akapitzlist"/>
        <w:numPr>
          <w:ilvl w:val="0"/>
          <w:numId w:val="2"/>
        </w:numPr>
        <w:tabs>
          <w:tab w:val="left" w:pos="642"/>
        </w:tabs>
        <w:ind w:left="641" w:hanging="238"/>
        <w:rPr>
          <w:lang w:val="pl-PL"/>
        </w:rPr>
      </w:pP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zł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od</w:t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gospodarstwa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domowego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wieloosobowego,</w:t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zajmującego</w:t>
      </w:r>
      <w:r w:rsidRPr="006218E2">
        <w:rPr>
          <w:spacing w:val="15"/>
          <w:lang w:val="pl-PL"/>
        </w:rPr>
        <w:t xml:space="preserve"> </w:t>
      </w:r>
      <w:r w:rsidRPr="006218E2">
        <w:rPr>
          <w:lang w:val="pl-PL"/>
        </w:rPr>
        <w:t>lokal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mieszkalny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o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powierzchni</w:t>
      </w:r>
    </w:p>
    <w:p w:rsidR="00F4376B" w:rsidRPr="006218E2" w:rsidRDefault="006218E2">
      <w:pPr>
        <w:pStyle w:val="Tekstpodstawowy"/>
        <w:spacing w:before="0"/>
        <w:ind w:left="402"/>
        <w:rPr>
          <w:lang w:val="pl-PL"/>
        </w:rPr>
      </w:pPr>
      <w:r w:rsidRPr="006218E2">
        <w:rPr>
          <w:lang w:val="pl-PL"/>
        </w:rPr>
        <w:t>przekraczającej 80 m².</w:t>
      </w:r>
    </w:p>
    <w:p w:rsidR="00F4376B" w:rsidRPr="006218E2" w:rsidRDefault="006218E2">
      <w:pPr>
        <w:pStyle w:val="Akapitzlist"/>
        <w:numPr>
          <w:ilvl w:val="0"/>
          <w:numId w:val="1"/>
        </w:numPr>
        <w:tabs>
          <w:tab w:val="left" w:pos="340"/>
        </w:tabs>
        <w:ind w:right="118" w:firstLine="0"/>
        <w:rPr>
          <w:lang w:val="pl-PL"/>
        </w:rPr>
      </w:pPr>
      <w:r w:rsidRPr="006218E2">
        <w:rPr>
          <w:lang w:val="pl-PL"/>
        </w:rPr>
        <w:t>Ustala się wyższą miesięczną stawkę opłaty za gospodarowanie odpadami komunalnymi, o której mowa w § 1, jeżeli odpady nie są zbierane i odbierane w sposób selektywny, w</w:t>
      </w:r>
      <w:r w:rsidRPr="006218E2">
        <w:rPr>
          <w:spacing w:val="-13"/>
          <w:lang w:val="pl-PL"/>
        </w:rPr>
        <w:t xml:space="preserve"> </w:t>
      </w:r>
      <w:r w:rsidRPr="006218E2">
        <w:rPr>
          <w:lang w:val="pl-PL"/>
        </w:rPr>
        <w:t>wysokości:</w:t>
      </w:r>
    </w:p>
    <w:p w:rsidR="00F4376B" w:rsidRPr="006218E2" w:rsidRDefault="006218E2">
      <w:pPr>
        <w:pStyle w:val="Akapitzlist"/>
        <w:numPr>
          <w:ilvl w:val="1"/>
          <w:numId w:val="1"/>
        </w:numPr>
        <w:tabs>
          <w:tab w:val="left" w:pos="642"/>
        </w:tabs>
        <w:ind w:right="119" w:firstLine="0"/>
        <w:rPr>
          <w:lang w:val="pl-PL"/>
        </w:rPr>
      </w:pP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r w:rsidRPr="006218E2">
        <w:rPr>
          <w:lang w:val="pl-PL"/>
        </w:rPr>
        <w:t xml:space="preserve"> zł od gospodarstwa domowego jednoosobowego, niezal</w:t>
      </w:r>
      <w:r w:rsidRPr="006218E2">
        <w:rPr>
          <w:lang w:val="pl-PL"/>
        </w:rPr>
        <w:t>eżnie od powierzchni zajmowanego lokalu mieszkalnego;</w:t>
      </w:r>
    </w:p>
    <w:p w:rsidR="00F4376B" w:rsidRPr="006218E2" w:rsidRDefault="006218E2">
      <w:pPr>
        <w:pStyle w:val="Akapitzlist"/>
        <w:numPr>
          <w:ilvl w:val="1"/>
          <w:numId w:val="1"/>
        </w:numPr>
        <w:tabs>
          <w:tab w:val="left" w:pos="642"/>
        </w:tabs>
        <w:ind w:right="118" w:firstLine="0"/>
        <w:rPr>
          <w:lang w:val="pl-PL"/>
        </w:rPr>
      </w:pP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r w:rsidRPr="006218E2">
        <w:rPr>
          <w:lang w:val="pl-PL"/>
        </w:rPr>
        <w:t xml:space="preserve"> zł od gospodarstwa domowego wieloosobowego, zajmującego lokal mieszkalny o powierzchni do 40 m²;</w:t>
      </w:r>
    </w:p>
    <w:p w:rsidR="00F4376B" w:rsidRPr="006218E2" w:rsidRDefault="006218E2">
      <w:pPr>
        <w:pStyle w:val="Akapitzlist"/>
        <w:numPr>
          <w:ilvl w:val="1"/>
          <w:numId w:val="1"/>
        </w:numPr>
        <w:tabs>
          <w:tab w:val="left" w:pos="642"/>
        </w:tabs>
        <w:ind w:left="641" w:hanging="238"/>
        <w:rPr>
          <w:lang w:val="pl-PL"/>
        </w:rPr>
      </w:pP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zł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od</w:t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gospodarstwa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domowego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wieloosobowego,</w:t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zajmującego</w:t>
      </w:r>
      <w:r w:rsidRPr="006218E2">
        <w:rPr>
          <w:spacing w:val="15"/>
          <w:lang w:val="pl-PL"/>
        </w:rPr>
        <w:t xml:space="preserve"> </w:t>
      </w:r>
      <w:r w:rsidRPr="006218E2">
        <w:rPr>
          <w:lang w:val="pl-PL"/>
        </w:rPr>
        <w:t>lokal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mieszkalny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o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powierzchni</w:t>
      </w:r>
    </w:p>
    <w:p w:rsidR="00F4376B" w:rsidRPr="006218E2" w:rsidRDefault="006218E2">
      <w:pPr>
        <w:pStyle w:val="Tekstpodstawowy"/>
        <w:spacing w:before="0"/>
        <w:ind w:left="402"/>
        <w:rPr>
          <w:lang w:val="pl-PL"/>
        </w:rPr>
      </w:pPr>
      <w:r w:rsidRPr="006218E2">
        <w:rPr>
          <w:lang w:val="pl-PL"/>
        </w:rPr>
        <w:t>przekraczającej 40 m², jednak nie większej niż 80 m²;</w:t>
      </w:r>
    </w:p>
    <w:p w:rsidR="00F4376B" w:rsidRPr="006218E2" w:rsidRDefault="006218E2">
      <w:pPr>
        <w:pStyle w:val="Akapitzlist"/>
        <w:numPr>
          <w:ilvl w:val="1"/>
          <w:numId w:val="1"/>
        </w:numPr>
        <w:tabs>
          <w:tab w:val="left" w:pos="642"/>
        </w:tabs>
        <w:ind w:left="641" w:hanging="238"/>
        <w:rPr>
          <w:lang w:val="pl-PL"/>
        </w:rPr>
      </w:pP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zł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od</w:t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gospodarstwa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domowego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wieloosobowego,</w:t>
      </w:r>
      <w:r w:rsidRPr="006218E2">
        <w:rPr>
          <w:spacing w:val="12"/>
          <w:lang w:val="pl-PL"/>
        </w:rPr>
        <w:t xml:space="preserve"> </w:t>
      </w:r>
      <w:r w:rsidRPr="006218E2">
        <w:rPr>
          <w:lang w:val="pl-PL"/>
        </w:rPr>
        <w:t>zajmującego</w:t>
      </w:r>
      <w:r w:rsidRPr="006218E2">
        <w:rPr>
          <w:spacing w:val="15"/>
          <w:lang w:val="pl-PL"/>
        </w:rPr>
        <w:t xml:space="preserve"> </w:t>
      </w:r>
      <w:r w:rsidRPr="006218E2">
        <w:rPr>
          <w:lang w:val="pl-PL"/>
        </w:rPr>
        <w:t>lokal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mieszkalny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o</w:t>
      </w:r>
      <w:r w:rsidRPr="006218E2">
        <w:rPr>
          <w:spacing w:val="13"/>
          <w:lang w:val="pl-PL"/>
        </w:rPr>
        <w:t xml:space="preserve"> </w:t>
      </w:r>
      <w:r w:rsidRPr="006218E2">
        <w:rPr>
          <w:lang w:val="pl-PL"/>
        </w:rPr>
        <w:t>powierzchni</w:t>
      </w:r>
    </w:p>
    <w:p w:rsidR="00F4376B" w:rsidRPr="006218E2" w:rsidRDefault="006218E2">
      <w:pPr>
        <w:pStyle w:val="Tekstpodstawowy"/>
        <w:spacing w:before="0"/>
        <w:ind w:left="402"/>
        <w:rPr>
          <w:lang w:val="pl-PL"/>
        </w:rPr>
      </w:pPr>
      <w:r w:rsidRPr="006218E2">
        <w:rPr>
          <w:lang w:val="pl-PL"/>
        </w:rPr>
        <w:t>przekraczającej 80 m².</w:t>
      </w:r>
    </w:p>
    <w:p w:rsidR="00F4376B" w:rsidRPr="006218E2" w:rsidRDefault="006218E2">
      <w:pPr>
        <w:pStyle w:val="Tekstpodstawowy"/>
        <w:ind w:left="119" w:right="119" w:firstLine="340"/>
        <w:jc w:val="both"/>
        <w:rPr>
          <w:lang w:val="pl-PL"/>
        </w:rPr>
      </w:pPr>
      <w:r w:rsidRPr="006218E2">
        <w:rPr>
          <w:b/>
          <w:lang w:val="pl-PL"/>
        </w:rPr>
        <w:t xml:space="preserve">§ 3. </w:t>
      </w:r>
      <w:r w:rsidRPr="006218E2">
        <w:rPr>
          <w:lang w:val="pl-PL"/>
        </w:rPr>
        <w:t>Ustalając wysokość opłaty, o której mowa w § 2, powierzchnię lokalu mieszkalnego, ja</w:t>
      </w:r>
      <w:r w:rsidRPr="006218E2">
        <w:rPr>
          <w:lang w:val="pl-PL"/>
        </w:rPr>
        <w:t>ką zajmuje gospodarstwo domowe, ustala się na zasadach określonych w ustawie z dnia 12 stycznia 1991 r. o podatkach i opłatach lokalnych, przy czym do powierzchni lokalu mieszkalnego nie wlicza się powierzchni pomieszczeń przynależnych, w szczególności gar</w:t>
      </w:r>
      <w:r w:rsidRPr="006218E2">
        <w:rPr>
          <w:lang w:val="pl-PL"/>
        </w:rPr>
        <w:t>aży, piwnic, komórek lokatorskich, a także balkonów, tarasów i logii.</w:t>
      </w:r>
    </w:p>
    <w:p w:rsidR="006218E2" w:rsidRDefault="006218E2" w:rsidP="006218E2">
      <w:pPr>
        <w:pStyle w:val="Tekstpodstawowy"/>
        <w:ind w:left="460"/>
        <w:rPr>
          <w:lang w:val="pl-PL"/>
        </w:rPr>
      </w:pPr>
      <w:r w:rsidRPr="006218E2">
        <w:rPr>
          <w:b/>
          <w:lang w:val="pl-PL"/>
        </w:rPr>
        <w:t xml:space="preserve">§ 4. </w:t>
      </w:r>
      <w:r w:rsidRPr="006218E2">
        <w:rPr>
          <w:lang w:val="pl-PL"/>
        </w:rPr>
        <w:t xml:space="preserve">Wykonanie uchwały powierza się </w:t>
      </w: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r w:rsidRPr="006218E2">
        <w:rPr>
          <w:lang w:val="pl-PL"/>
        </w:rPr>
        <w:t>.</w:t>
      </w:r>
    </w:p>
    <w:p w:rsidR="00F4376B" w:rsidRPr="006218E2" w:rsidRDefault="006218E2" w:rsidP="006218E2">
      <w:pPr>
        <w:pStyle w:val="Tekstpodstawowy"/>
        <w:ind w:left="460"/>
        <w:rPr>
          <w:lang w:val="pl-PL"/>
        </w:rPr>
      </w:pPr>
      <w:r w:rsidRPr="006218E2">
        <w:rPr>
          <w:b/>
          <w:lang w:val="pl-PL"/>
        </w:rPr>
        <w:t>§</w:t>
      </w:r>
      <w:r w:rsidRPr="006218E2">
        <w:rPr>
          <w:b/>
          <w:lang w:val="pl-PL"/>
        </w:rPr>
        <w:t xml:space="preserve"> 5. </w:t>
      </w:r>
      <w:r w:rsidRPr="006218E2">
        <w:rPr>
          <w:lang w:val="pl-PL"/>
        </w:rPr>
        <w:t>Uchwała wchodzi w życie po upływie 14 dni od dnia jej ogłoszenia w Dzienniku Urzędowym</w:t>
      </w:r>
    </w:p>
    <w:p w:rsidR="00F4376B" w:rsidRPr="006218E2" w:rsidRDefault="006218E2">
      <w:pPr>
        <w:pStyle w:val="Tekstpodstawowy"/>
        <w:spacing w:before="0"/>
        <w:ind w:left="120"/>
        <w:rPr>
          <w:lang w:val="pl-PL"/>
        </w:rPr>
      </w:pPr>
      <w:r w:rsidRPr="006218E2">
        <w:rPr>
          <w:lang w:val="pl-PL"/>
        </w:rPr>
        <w:t xml:space="preserve">Województwa </w:t>
      </w: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r w:rsidRPr="006218E2">
        <w:rPr>
          <w:lang w:val="pl-PL"/>
        </w:rPr>
        <w:t xml:space="preserve">, z mocą obowiązującą od </w:t>
      </w: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6218E2">
        <w:rPr>
          <w:lang w:val="pl-PL"/>
        </w:rPr>
        <w:t>r.</w:t>
      </w:r>
    </w:p>
    <w:p w:rsidR="00F4376B" w:rsidRPr="006218E2" w:rsidRDefault="00F4376B">
      <w:pPr>
        <w:pStyle w:val="Tekstpodstawowy"/>
        <w:spacing w:before="0"/>
        <w:rPr>
          <w:sz w:val="24"/>
          <w:lang w:val="pl-PL"/>
        </w:rPr>
      </w:pPr>
    </w:p>
    <w:p w:rsidR="00F4376B" w:rsidRPr="006218E2" w:rsidRDefault="00F4376B">
      <w:pPr>
        <w:pStyle w:val="Tekstpodstawowy"/>
        <w:spacing w:before="0"/>
        <w:rPr>
          <w:sz w:val="24"/>
          <w:lang w:val="pl-PL"/>
        </w:rPr>
      </w:pPr>
    </w:p>
    <w:p w:rsidR="00F4376B" w:rsidRPr="006218E2" w:rsidRDefault="00F4376B">
      <w:pPr>
        <w:pStyle w:val="Tekstpodstawowy"/>
        <w:spacing w:before="3"/>
        <w:rPr>
          <w:sz w:val="34"/>
          <w:lang w:val="pl-PL"/>
        </w:rPr>
      </w:pPr>
    </w:p>
    <w:p w:rsidR="00F4376B" w:rsidRPr="006218E2" w:rsidRDefault="006218E2">
      <w:pPr>
        <w:pStyle w:val="Tekstpodstawowy"/>
        <w:spacing w:before="0"/>
        <w:ind w:left="6212" w:right="1278"/>
        <w:jc w:val="center"/>
        <w:rPr>
          <w:lang w:val="pl-PL"/>
        </w:rPr>
      </w:pPr>
      <w:r w:rsidRPr="006218E2">
        <w:rPr>
          <w:lang w:val="pl-PL"/>
        </w:rPr>
        <w:t xml:space="preserve">Przewodniczący Rady Miasta </w:t>
      </w:r>
      <w:r>
        <w:rPr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</w:p>
    <w:p w:rsidR="00F4376B" w:rsidRPr="006218E2" w:rsidRDefault="00F4376B">
      <w:pPr>
        <w:pStyle w:val="Tekstpodstawowy"/>
        <w:spacing w:before="0"/>
        <w:rPr>
          <w:sz w:val="24"/>
          <w:lang w:val="pl-PL"/>
        </w:rPr>
      </w:pPr>
    </w:p>
    <w:p w:rsidR="00F4376B" w:rsidRPr="006218E2" w:rsidRDefault="00F4376B">
      <w:pPr>
        <w:pStyle w:val="Tekstpodstawowy"/>
        <w:spacing w:before="0"/>
        <w:rPr>
          <w:sz w:val="20"/>
          <w:lang w:val="pl-PL"/>
        </w:rPr>
      </w:pPr>
    </w:p>
    <w:p w:rsidR="00F4376B" w:rsidRPr="006218E2" w:rsidRDefault="006218E2">
      <w:pPr>
        <w:pStyle w:val="Nagwek1"/>
        <w:ind w:left="6210" w:right="1278"/>
        <w:jc w:val="center"/>
        <w:rPr>
          <w:lang w:val="pl-PL"/>
        </w:rPr>
      </w:pPr>
      <w:r>
        <w:rPr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5" w:name="Tekst1"/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noProof/>
          <w:lang w:val="pl-PL"/>
        </w:rPr>
        <w:t> </w:t>
      </w:r>
      <w:r>
        <w:rPr>
          <w:lang w:val="pl-PL"/>
        </w:rPr>
        <w:fldChar w:fldCharType="end"/>
      </w:r>
      <w:bookmarkEnd w:id="5"/>
    </w:p>
    <w:sectPr w:rsidR="00F4376B" w:rsidRPr="006218E2">
      <w:footerReference w:type="default" r:id="rId7"/>
      <w:pgSz w:w="11910" w:h="16840"/>
      <w:pgMar w:top="900" w:right="900" w:bottom="460" w:left="900" w:header="0" w:footer="2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18E2">
      <w:r>
        <w:separator/>
      </w:r>
    </w:p>
  </w:endnote>
  <w:endnote w:type="continuationSeparator" w:id="0">
    <w:p w:rsidR="00000000" w:rsidRDefault="0062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76B" w:rsidRDefault="00F4376B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18E2">
      <w:r>
        <w:separator/>
      </w:r>
    </w:p>
  </w:footnote>
  <w:footnote w:type="continuationSeparator" w:id="0">
    <w:p w:rsidR="00000000" w:rsidRDefault="0062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12E8"/>
    <w:multiLevelType w:val="hybridMultilevel"/>
    <w:tmpl w:val="E9A285DE"/>
    <w:lvl w:ilvl="0" w:tplc="3A24D39C">
      <w:start w:val="1"/>
      <w:numFmt w:val="decimal"/>
      <w:lvlText w:val="%1)"/>
      <w:lvlJc w:val="left"/>
      <w:pPr>
        <w:ind w:left="403" w:hanging="239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en-US" w:eastAsia="en-US" w:bidi="en-US"/>
      </w:rPr>
    </w:lvl>
    <w:lvl w:ilvl="1" w:tplc="ABD0FABE">
      <w:numFmt w:val="bullet"/>
      <w:lvlText w:val="•"/>
      <w:lvlJc w:val="left"/>
      <w:pPr>
        <w:ind w:left="1370" w:hanging="239"/>
      </w:pPr>
      <w:rPr>
        <w:rFonts w:hint="default"/>
        <w:lang w:val="en-US" w:eastAsia="en-US" w:bidi="en-US"/>
      </w:rPr>
    </w:lvl>
    <w:lvl w:ilvl="2" w:tplc="18745E1C">
      <w:numFmt w:val="bullet"/>
      <w:lvlText w:val="•"/>
      <w:lvlJc w:val="left"/>
      <w:pPr>
        <w:ind w:left="2341" w:hanging="239"/>
      </w:pPr>
      <w:rPr>
        <w:rFonts w:hint="default"/>
        <w:lang w:val="en-US" w:eastAsia="en-US" w:bidi="en-US"/>
      </w:rPr>
    </w:lvl>
    <w:lvl w:ilvl="3" w:tplc="EFD6A31E">
      <w:numFmt w:val="bullet"/>
      <w:lvlText w:val="•"/>
      <w:lvlJc w:val="left"/>
      <w:pPr>
        <w:ind w:left="3311" w:hanging="239"/>
      </w:pPr>
      <w:rPr>
        <w:rFonts w:hint="default"/>
        <w:lang w:val="en-US" w:eastAsia="en-US" w:bidi="en-US"/>
      </w:rPr>
    </w:lvl>
    <w:lvl w:ilvl="4" w:tplc="3452BFF0">
      <w:numFmt w:val="bullet"/>
      <w:lvlText w:val="•"/>
      <w:lvlJc w:val="left"/>
      <w:pPr>
        <w:ind w:left="4282" w:hanging="239"/>
      </w:pPr>
      <w:rPr>
        <w:rFonts w:hint="default"/>
        <w:lang w:val="en-US" w:eastAsia="en-US" w:bidi="en-US"/>
      </w:rPr>
    </w:lvl>
    <w:lvl w:ilvl="5" w:tplc="F072F9EE">
      <w:numFmt w:val="bullet"/>
      <w:lvlText w:val="•"/>
      <w:lvlJc w:val="left"/>
      <w:pPr>
        <w:ind w:left="5253" w:hanging="239"/>
      </w:pPr>
      <w:rPr>
        <w:rFonts w:hint="default"/>
        <w:lang w:val="en-US" w:eastAsia="en-US" w:bidi="en-US"/>
      </w:rPr>
    </w:lvl>
    <w:lvl w:ilvl="6" w:tplc="B30E93F2">
      <w:numFmt w:val="bullet"/>
      <w:lvlText w:val="•"/>
      <w:lvlJc w:val="left"/>
      <w:pPr>
        <w:ind w:left="6223" w:hanging="239"/>
      </w:pPr>
      <w:rPr>
        <w:rFonts w:hint="default"/>
        <w:lang w:val="en-US" w:eastAsia="en-US" w:bidi="en-US"/>
      </w:rPr>
    </w:lvl>
    <w:lvl w:ilvl="7" w:tplc="19A05FCC">
      <w:numFmt w:val="bullet"/>
      <w:lvlText w:val="•"/>
      <w:lvlJc w:val="left"/>
      <w:pPr>
        <w:ind w:left="7194" w:hanging="239"/>
      </w:pPr>
      <w:rPr>
        <w:rFonts w:hint="default"/>
        <w:lang w:val="en-US" w:eastAsia="en-US" w:bidi="en-US"/>
      </w:rPr>
    </w:lvl>
    <w:lvl w:ilvl="8" w:tplc="9DE86E34">
      <w:numFmt w:val="bullet"/>
      <w:lvlText w:val="•"/>
      <w:lvlJc w:val="left"/>
      <w:pPr>
        <w:ind w:left="8164" w:hanging="239"/>
      </w:pPr>
      <w:rPr>
        <w:rFonts w:hint="default"/>
        <w:lang w:val="en-US" w:eastAsia="en-US" w:bidi="en-US"/>
      </w:rPr>
    </w:lvl>
  </w:abstractNum>
  <w:abstractNum w:abstractNumId="1" w15:restartNumberingAfterBreak="0">
    <w:nsid w:val="790E6E6D"/>
    <w:multiLevelType w:val="hybridMultilevel"/>
    <w:tmpl w:val="49629A04"/>
    <w:lvl w:ilvl="0" w:tplc="39A02162">
      <w:start w:val="2"/>
      <w:numFmt w:val="decimal"/>
      <w:lvlText w:val="%1."/>
      <w:lvlJc w:val="left"/>
      <w:pPr>
        <w:ind w:left="12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0DDC1EE0">
      <w:start w:val="1"/>
      <w:numFmt w:val="decimal"/>
      <w:lvlText w:val="%2)"/>
      <w:lvlJc w:val="left"/>
      <w:pPr>
        <w:ind w:left="403" w:hanging="239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en-US" w:eastAsia="en-US" w:bidi="en-US"/>
      </w:rPr>
    </w:lvl>
    <w:lvl w:ilvl="2" w:tplc="ED66E780">
      <w:numFmt w:val="bullet"/>
      <w:lvlText w:val="•"/>
      <w:lvlJc w:val="left"/>
      <w:pPr>
        <w:ind w:left="1478" w:hanging="239"/>
      </w:pPr>
      <w:rPr>
        <w:rFonts w:hint="default"/>
        <w:lang w:val="en-US" w:eastAsia="en-US" w:bidi="en-US"/>
      </w:rPr>
    </w:lvl>
    <w:lvl w:ilvl="3" w:tplc="B7E0808A">
      <w:numFmt w:val="bullet"/>
      <w:lvlText w:val="•"/>
      <w:lvlJc w:val="left"/>
      <w:pPr>
        <w:ind w:left="2556" w:hanging="239"/>
      </w:pPr>
      <w:rPr>
        <w:rFonts w:hint="default"/>
        <w:lang w:val="en-US" w:eastAsia="en-US" w:bidi="en-US"/>
      </w:rPr>
    </w:lvl>
    <w:lvl w:ilvl="4" w:tplc="92D69F26">
      <w:numFmt w:val="bullet"/>
      <w:lvlText w:val="•"/>
      <w:lvlJc w:val="left"/>
      <w:pPr>
        <w:ind w:left="3635" w:hanging="239"/>
      </w:pPr>
      <w:rPr>
        <w:rFonts w:hint="default"/>
        <w:lang w:val="en-US" w:eastAsia="en-US" w:bidi="en-US"/>
      </w:rPr>
    </w:lvl>
    <w:lvl w:ilvl="5" w:tplc="DF960FF8">
      <w:numFmt w:val="bullet"/>
      <w:lvlText w:val="•"/>
      <w:lvlJc w:val="left"/>
      <w:pPr>
        <w:ind w:left="4713" w:hanging="239"/>
      </w:pPr>
      <w:rPr>
        <w:rFonts w:hint="default"/>
        <w:lang w:val="en-US" w:eastAsia="en-US" w:bidi="en-US"/>
      </w:rPr>
    </w:lvl>
    <w:lvl w:ilvl="6" w:tplc="E82A272A">
      <w:numFmt w:val="bullet"/>
      <w:lvlText w:val="•"/>
      <w:lvlJc w:val="left"/>
      <w:pPr>
        <w:ind w:left="5792" w:hanging="239"/>
      </w:pPr>
      <w:rPr>
        <w:rFonts w:hint="default"/>
        <w:lang w:val="en-US" w:eastAsia="en-US" w:bidi="en-US"/>
      </w:rPr>
    </w:lvl>
    <w:lvl w:ilvl="7" w:tplc="E09C7FD6">
      <w:numFmt w:val="bullet"/>
      <w:lvlText w:val="•"/>
      <w:lvlJc w:val="left"/>
      <w:pPr>
        <w:ind w:left="6870" w:hanging="239"/>
      </w:pPr>
      <w:rPr>
        <w:rFonts w:hint="default"/>
        <w:lang w:val="en-US" w:eastAsia="en-US" w:bidi="en-US"/>
      </w:rPr>
    </w:lvl>
    <w:lvl w:ilvl="8" w:tplc="96CA3D9C">
      <w:numFmt w:val="bullet"/>
      <w:lvlText w:val="•"/>
      <w:lvlJc w:val="left"/>
      <w:pPr>
        <w:ind w:left="7949" w:hanging="2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6B"/>
    <w:rsid w:val="006218E2"/>
    <w:rsid w:val="00F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AFB6E"/>
  <w15:docId w15:val="{C6A898D5-E2BA-4C91-92C3-B7F49A2D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bidi="en-US"/>
    </w:rPr>
  </w:style>
  <w:style w:type="paragraph" w:styleId="Nagwek1">
    <w:name w:val="heading 1"/>
    <w:basedOn w:val="Normalny"/>
    <w:uiPriority w:val="9"/>
    <w:qFormat/>
    <w:pPr>
      <w:ind w:left="119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  <w:rPr>
      <w:lang w:val="en-US"/>
    </w:rPr>
  </w:style>
  <w:style w:type="paragraph" w:styleId="Akapitzlist">
    <w:name w:val="List Paragraph"/>
    <w:basedOn w:val="Normalny"/>
    <w:uiPriority w:val="1"/>
    <w:qFormat/>
    <w:pPr>
      <w:spacing w:before="120"/>
      <w:ind w:left="403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1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8E2"/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21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8E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XXXII/300/2016 z dnia 12 pazdziernika 2016 r.</dc:title>
  <dc:subject>w sprawie wyboru metody ustalenia oplaty za gospodarowanie odpadami komunalnymi oraz ustalenia stawki tej oplaty dla nieruchomosci, na ktorych zamieszkuja mieszkancy</dc:subject>
  <dc:creator>Rada Miasta Starogard Gdanski</dc:creator>
  <cp:lastModifiedBy>Skałkowski Gabriel</cp:lastModifiedBy>
  <cp:revision>2</cp:revision>
  <dcterms:created xsi:type="dcterms:W3CDTF">2019-03-14T10:35:00Z</dcterms:created>
  <dcterms:modified xsi:type="dcterms:W3CDTF">2019-04-19T10:55:00Z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2019-03-14T00:00:00Z</vt:filetime>
  </property>
</Properties>
</file>